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9A" w:rsidRPr="00137211" w:rsidRDefault="00ED649A" w:rsidP="00723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37211">
        <w:rPr>
          <w:rFonts w:ascii="Times New Roman" w:hAnsi="Times New Roman" w:cs="Times New Roman"/>
          <w:b/>
          <w:bCs/>
          <w:sz w:val="24"/>
          <w:szCs w:val="24"/>
        </w:rPr>
        <w:t>5/2015.(III.26.) ö</w:t>
      </w:r>
      <w:r w:rsidR="007B0923" w:rsidRPr="0013721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37211">
        <w:rPr>
          <w:rFonts w:ascii="Times New Roman" w:hAnsi="Times New Roman" w:cs="Times New Roman"/>
          <w:b/>
          <w:bCs/>
          <w:sz w:val="24"/>
          <w:szCs w:val="24"/>
        </w:rPr>
        <w:t>kormányzati rendelete</w:t>
      </w:r>
    </w:p>
    <w:p w:rsidR="00ED649A" w:rsidRPr="00723D0E" w:rsidRDefault="00ED649A" w:rsidP="00723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A Helyi Építési Szabályzatról szóló 8/2007. (VIII.01) önkormányzati rendeletének módosításáról</w:t>
      </w:r>
    </w:p>
    <w:bookmarkEnd w:id="0"/>
    <w:p w:rsidR="00ED649A" w:rsidRDefault="00ED649A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Legyesbénye Község Önkormányzatának Képviselő-</w:t>
      </w:r>
      <w:r w:rsidR="00723D0E" w:rsidRPr="00723D0E">
        <w:rPr>
          <w:rFonts w:ascii="Times New Roman" w:hAnsi="Times New Roman" w:cs="Times New Roman"/>
          <w:sz w:val="24"/>
          <w:szCs w:val="24"/>
        </w:rPr>
        <w:t>t</w:t>
      </w:r>
      <w:r w:rsidRPr="00723D0E">
        <w:rPr>
          <w:rFonts w:ascii="Times New Roman" w:hAnsi="Times New Roman" w:cs="Times New Roman"/>
          <w:sz w:val="24"/>
          <w:szCs w:val="24"/>
        </w:rPr>
        <w:t>estülete az épített környezet alakításáról és védelméről szóló 1997.évi LXXVIII.</w:t>
      </w:r>
      <w:r w:rsidR="00723D0E" w:rsidRPr="00723D0E">
        <w:rPr>
          <w:rFonts w:ascii="Times New Roman" w:hAnsi="Times New Roman" w:cs="Times New Roman"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>törvény 13.§ (1) bekezdésében és a 62.§ (6) bekezdés 6. pontjában kapott felhatalmazás alapján, Magyarország helyi önkormányzatairól szóló 2011. évi CLXXXIX.</w:t>
      </w:r>
      <w:r w:rsidR="007B0923" w:rsidRPr="00723D0E">
        <w:rPr>
          <w:rFonts w:ascii="Times New Roman" w:hAnsi="Times New Roman" w:cs="Times New Roman"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>törvény 13. § (1) bekezdésében meghatározott feladatkörében eljárva, a települ</w:t>
      </w:r>
      <w:r w:rsidR="007B0923" w:rsidRPr="00723D0E">
        <w:rPr>
          <w:rFonts w:ascii="Times New Roman" w:hAnsi="Times New Roman" w:cs="Times New Roman"/>
          <w:sz w:val="24"/>
          <w:szCs w:val="24"/>
        </w:rPr>
        <w:t>é</w:t>
      </w:r>
      <w:r w:rsidRPr="00723D0E">
        <w:rPr>
          <w:rFonts w:ascii="Times New Roman" w:hAnsi="Times New Roman" w:cs="Times New Roman"/>
          <w:sz w:val="24"/>
          <w:szCs w:val="24"/>
        </w:rPr>
        <w:t>sfejlesztési koncepcióról, az integrált településfejlesztési stratégiáról és a települ</w:t>
      </w:r>
      <w:r w:rsidR="007B0923" w:rsidRPr="00723D0E">
        <w:rPr>
          <w:rFonts w:ascii="Times New Roman" w:hAnsi="Times New Roman" w:cs="Times New Roman"/>
          <w:sz w:val="24"/>
          <w:szCs w:val="24"/>
        </w:rPr>
        <w:t>é</w:t>
      </w:r>
      <w:r w:rsidRPr="00723D0E">
        <w:rPr>
          <w:rFonts w:ascii="Times New Roman" w:hAnsi="Times New Roman" w:cs="Times New Roman"/>
          <w:sz w:val="24"/>
          <w:szCs w:val="24"/>
        </w:rPr>
        <w:t>srendezési eszközökről, valamint egyes településrendezési sajátos jogintézményekről szóló</w:t>
      </w:r>
      <w:r w:rsidR="007B0923" w:rsidRPr="00723D0E">
        <w:rPr>
          <w:rFonts w:ascii="Times New Roman" w:hAnsi="Times New Roman" w:cs="Times New Roman"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 xml:space="preserve"> 317/2012. (XI.8.) Korm.rendelet 30.§ (1) bekezdésében biztosított véleményezési jogkörében eljáró államigazgatási szervek véleményének kikérésével a partnerségi egyeztetést követően a Helyi Építési Szabályzatról (HÉSZ) szóló 6/2007./(VIII.01) önkormányzati rendeletének módosításáról az alábbiakat rendeli el:</w:t>
      </w:r>
    </w:p>
    <w:p w:rsidR="00723D0E" w:rsidRPr="00723D0E" w:rsidRDefault="00723D0E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D649A" w:rsidRPr="00723D0E" w:rsidRDefault="00ED649A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3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3D0E">
        <w:rPr>
          <w:rFonts w:ascii="Times New Roman" w:hAnsi="Times New Roman" w:cs="Times New Roman"/>
          <w:b/>
          <w:bCs/>
          <w:sz w:val="24"/>
          <w:szCs w:val="24"/>
        </w:rPr>
        <w:t>§ (1)</w:t>
      </w:r>
      <w:r w:rsidRPr="00723D0E">
        <w:rPr>
          <w:rFonts w:ascii="Times New Roman" w:hAnsi="Times New Roman" w:cs="Times New Roman"/>
          <w:sz w:val="24"/>
          <w:szCs w:val="24"/>
        </w:rPr>
        <w:t xml:space="preserve"> A rendelet területi hatálya LEGYESBÉNYE község külterületi szabályozási tervlapon (SZM-1/2014-09) jelölt „1” jelű területre terjed ki.</w:t>
      </w:r>
    </w:p>
    <w:p w:rsidR="00ED649A" w:rsidRPr="00723D0E" w:rsidRDefault="007B0923" w:rsidP="00723D0E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(2) Beépítésre szánt terület övezete:</w:t>
      </w:r>
    </w:p>
    <w:p w:rsidR="007B0923" w:rsidRPr="00723D0E" w:rsidRDefault="007B0923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a) A 050/12 hrsz-ú terület ipari gazdasági területből történő átminősítése beépítésre szánt különleges mezőgazdasági üzemi területté.</w:t>
      </w:r>
    </w:p>
    <w:p w:rsidR="007B0923" w:rsidRPr="00723D0E" w:rsidRDefault="007B0923" w:rsidP="00723D0E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23D0E">
        <w:rPr>
          <w:rFonts w:ascii="Times New Roman" w:hAnsi="Times New Roman" w:cs="Times New Roman"/>
          <w:b/>
          <w:bCs/>
          <w:sz w:val="24"/>
          <w:szCs w:val="24"/>
        </w:rPr>
        <w:t>ip</w:t>
      </w:r>
      <w:proofErr w:type="spellEnd"/>
      <w:r w:rsidRPr="00723D0E">
        <w:rPr>
          <w:rFonts w:ascii="Times New Roman" w:hAnsi="Times New Roman" w:cs="Times New Roman"/>
          <w:b/>
          <w:bCs/>
          <w:sz w:val="24"/>
          <w:szCs w:val="24"/>
        </w:rPr>
        <w:t>-&gt;</w:t>
      </w: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Kmg</w:t>
      </w:r>
      <w:proofErr w:type="spellEnd"/>
      <w:r w:rsidRPr="00723D0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B0923" w:rsidRPr="00723D0E" w:rsidRDefault="007B0923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b) a 031/5 hrsz-ú terület </w:t>
      </w:r>
    </w:p>
    <w:p w:rsidR="007B0923" w:rsidRPr="00723D0E" w:rsidRDefault="007B0923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Kmg</w:t>
      </w:r>
      <w:proofErr w:type="spellEnd"/>
      <w:r w:rsidRPr="00723D0E">
        <w:rPr>
          <w:rFonts w:ascii="Times New Roman" w:hAnsi="Times New Roman" w:cs="Times New Roman"/>
          <w:b/>
          <w:bCs/>
          <w:sz w:val="24"/>
          <w:szCs w:val="24"/>
        </w:rPr>
        <w:t>-&gt;</w:t>
      </w: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Má</w:t>
      </w:r>
      <w:proofErr w:type="spellEnd"/>
      <w:r w:rsidRPr="00723D0E">
        <w:rPr>
          <w:rFonts w:ascii="Times New Roman" w:hAnsi="Times New Roman" w:cs="Times New Roman"/>
          <w:sz w:val="24"/>
          <w:szCs w:val="24"/>
        </w:rPr>
        <w:t xml:space="preserve"> (NATURA 2000 miatt)</w:t>
      </w:r>
    </w:p>
    <w:p w:rsidR="007B0923" w:rsidRDefault="007B0923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(3) A rendelet hatálya alá tartozó területen területet alakítani, épületet és más építményt (a műtárgyakat is </w:t>
      </w:r>
      <w:r w:rsidR="00723D0E" w:rsidRPr="00723D0E">
        <w:rPr>
          <w:rFonts w:ascii="Times New Roman" w:hAnsi="Times New Roman" w:cs="Times New Roman"/>
          <w:sz w:val="24"/>
          <w:szCs w:val="24"/>
        </w:rPr>
        <w:t>ideértve</w:t>
      </w:r>
      <w:r w:rsidRPr="00723D0E">
        <w:rPr>
          <w:rFonts w:ascii="Times New Roman" w:hAnsi="Times New Roman" w:cs="Times New Roman"/>
          <w:sz w:val="24"/>
          <w:szCs w:val="24"/>
        </w:rPr>
        <w:t>) tervezni, kivitelezni, építeni, felújítani, átalakítani, korszerűsíteni, bővíteni, lebontani, használni, valamint mindezekre hatósági engedélyt adni az általános érvényű előírások mellett csak és kizárólag e rendelet (és a hozzá tartozó szabályozási terv együttes) alkalmazásával szabad.</w:t>
      </w:r>
    </w:p>
    <w:p w:rsidR="00E30690" w:rsidRDefault="00E30690" w:rsidP="00723D0E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923" w:rsidRPr="00723D0E" w:rsidRDefault="007B0923" w:rsidP="00723D0E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2.§</w:t>
      </w:r>
      <w:r w:rsidRPr="00723D0E">
        <w:rPr>
          <w:rFonts w:ascii="Times New Roman" w:hAnsi="Times New Roman" w:cs="Times New Roman"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i/>
          <w:iCs/>
          <w:sz w:val="24"/>
          <w:szCs w:val="24"/>
        </w:rPr>
        <w:t>A Helyi Építési Szabályzatról (HÉSZ) szóló 8/2007./ (VIII.01.) önkormányzati rendelet (a továbbiakban: HÉSZ) az alábbi 11/A.§ -</w:t>
      </w:r>
      <w:proofErr w:type="spellStart"/>
      <w:r w:rsidRPr="00723D0E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723D0E">
        <w:rPr>
          <w:rFonts w:ascii="Times New Roman" w:hAnsi="Times New Roman" w:cs="Times New Roman"/>
          <w:i/>
          <w:iCs/>
          <w:sz w:val="24"/>
          <w:szCs w:val="24"/>
        </w:rPr>
        <w:t xml:space="preserve"> egészül ki:</w:t>
      </w:r>
    </w:p>
    <w:p w:rsidR="007B0923" w:rsidRPr="00723D0E" w:rsidRDefault="007B0923" w:rsidP="00723D0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„11/A. §</w:t>
      </w:r>
    </w:p>
    <w:p w:rsidR="00723D0E" w:rsidRDefault="007B0923" w:rsidP="00723D0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Különleges beépítésre szánt mezőgazdasági üzemi terület </w:t>
      </w:r>
    </w:p>
    <w:p w:rsidR="007B0923" w:rsidRPr="00723D0E" w:rsidRDefault="007B0923" w:rsidP="00723D0E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Kmg</w:t>
      </w:r>
      <w:proofErr w:type="spellEnd"/>
    </w:p>
    <w:p w:rsidR="00723D0E" w:rsidRDefault="007B0923" w:rsidP="00723D0E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Az övezetben a mezőgazdasági termeléshez kapcsolódó azon tevékenységek</w:t>
      </w:r>
    </w:p>
    <w:p w:rsidR="007B0923" w:rsidRDefault="007B0923" w:rsidP="00723D0E">
      <w:pPr>
        <w:pStyle w:val="Listaszerbekezds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lastRenderedPageBreak/>
        <w:t xml:space="preserve"> építmények helyezhetőek el, amelyhez saját termelőterület általában nem tartozik</w:t>
      </w:r>
    </w:p>
    <w:p w:rsidR="00723D0E" w:rsidRPr="00723D0E" w:rsidRDefault="00723D0E" w:rsidP="00723D0E">
      <w:pPr>
        <w:pStyle w:val="Listaszerbekezds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B0923" w:rsidRDefault="007B0923" w:rsidP="00723D0E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Az övezetben a meglévő és újonnan létesülő mezőgazdasági üzemek (majorok) tartoznak, ahol a mezőgazdasági termékek feldolgozása, tárolása, a mezőgazdasági gépek, és szállítóeszközök javítása folyik.</w:t>
      </w:r>
    </w:p>
    <w:p w:rsidR="00723D0E" w:rsidRPr="00723D0E" w:rsidRDefault="00723D0E" w:rsidP="00723D0E">
      <w:pPr>
        <w:pStyle w:val="Listaszerbekezds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B0923" w:rsidRDefault="007B0923" w:rsidP="00723D0E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Nagyüzemi állattartás, vagy mezőgazdasági</w:t>
      </w:r>
      <w:r w:rsidR="00723D0E">
        <w:rPr>
          <w:rFonts w:ascii="Times New Roman" w:hAnsi="Times New Roman" w:cs="Times New Roman"/>
          <w:sz w:val="24"/>
          <w:szCs w:val="24"/>
        </w:rPr>
        <w:t>,</w:t>
      </w:r>
      <w:r w:rsidRPr="00723D0E">
        <w:rPr>
          <w:rFonts w:ascii="Times New Roman" w:hAnsi="Times New Roman" w:cs="Times New Roman"/>
          <w:sz w:val="24"/>
          <w:szCs w:val="24"/>
        </w:rPr>
        <w:t xml:space="preserve"> illetve mezőgazdasági termeléshez szorosan kapcsolódó ipari tevékenysége megengedhető.</w:t>
      </w:r>
    </w:p>
    <w:p w:rsidR="00723D0E" w:rsidRPr="00723D0E" w:rsidRDefault="00723D0E" w:rsidP="00723D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23D0E" w:rsidRPr="00723D0E" w:rsidRDefault="00723D0E" w:rsidP="00723D0E">
      <w:pPr>
        <w:pStyle w:val="Listaszerbekezds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B0923" w:rsidRPr="00723D0E" w:rsidRDefault="007B0923" w:rsidP="00723D0E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Övezet jele és a telek beépítésének paraméterei</w:t>
      </w:r>
    </w:p>
    <w:p w:rsidR="007B0923" w:rsidRPr="00723D0E" w:rsidRDefault="007B0923" w:rsidP="00723D0E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Kmg</w:t>
      </w:r>
      <w:proofErr w:type="spellEnd"/>
      <w:r w:rsidRPr="00723D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  <w:t>jelű építési övezet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169"/>
        <w:gridCol w:w="1171"/>
      </w:tblGrid>
      <w:tr w:rsidR="007B0923" w:rsidRPr="00723D0E" w:rsidTr="007B0923">
        <w:trPr>
          <w:trHeight w:val="465"/>
        </w:trPr>
        <w:tc>
          <w:tcPr>
            <w:tcW w:w="1169" w:type="dxa"/>
          </w:tcPr>
          <w:p w:rsidR="007B0923" w:rsidRPr="00723D0E" w:rsidRDefault="007B0923" w:rsidP="00723D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0E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  <w:tc>
          <w:tcPr>
            <w:tcW w:w="1171" w:type="dxa"/>
          </w:tcPr>
          <w:p w:rsidR="007B0923" w:rsidRPr="00723D0E" w:rsidRDefault="007B0923" w:rsidP="00723D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0923" w:rsidRPr="00723D0E" w:rsidTr="00832570">
        <w:trPr>
          <w:trHeight w:val="388"/>
        </w:trPr>
        <w:tc>
          <w:tcPr>
            <w:tcW w:w="1169" w:type="dxa"/>
          </w:tcPr>
          <w:p w:rsidR="007B0923" w:rsidRPr="00723D0E" w:rsidRDefault="007B0923" w:rsidP="00723D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71" w:type="dxa"/>
          </w:tcPr>
          <w:p w:rsidR="007B0923" w:rsidRPr="00723D0E" w:rsidRDefault="007B0923" w:rsidP="00723D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B0923" w:rsidRPr="00723D0E" w:rsidRDefault="007B0923" w:rsidP="00723D0E">
      <w:pPr>
        <w:pStyle w:val="Listaszerbekezds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A kialakítandó legkisebb </w:t>
      </w:r>
      <w:r w:rsidR="00832570" w:rsidRPr="00723D0E">
        <w:rPr>
          <w:rFonts w:ascii="Times New Roman" w:hAnsi="Times New Roman" w:cs="Times New Roman"/>
          <w:sz w:val="24"/>
          <w:szCs w:val="24"/>
        </w:rPr>
        <w:t>telekterület:</w:t>
      </w:r>
      <w:r w:rsidRPr="00723D0E">
        <w:rPr>
          <w:rFonts w:ascii="Times New Roman" w:hAnsi="Times New Roman" w:cs="Times New Roman"/>
          <w:sz w:val="24"/>
          <w:szCs w:val="24"/>
        </w:rPr>
        <w:t xml:space="preserve"> 2000 m</w:t>
      </w:r>
      <w:r w:rsidRPr="00723D0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B0923" w:rsidRPr="00723D0E" w:rsidRDefault="002174DF" w:rsidP="00723D0E">
      <w:pPr>
        <w:pStyle w:val="Listaszerbekezds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Beépítési mód: SZ szabadon álló</w:t>
      </w:r>
    </w:p>
    <w:p w:rsidR="002174DF" w:rsidRPr="00723D0E" w:rsidRDefault="002174DF" w:rsidP="00723D0E">
      <w:pPr>
        <w:pStyle w:val="Listaszerbekezds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Megengedett legnagyobb építmény magasság: 7,5 m</w:t>
      </w:r>
    </w:p>
    <w:p w:rsidR="002174DF" w:rsidRPr="00723D0E" w:rsidRDefault="002174DF" w:rsidP="00723D0E">
      <w:pPr>
        <w:pStyle w:val="Listaszerbekezds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Megengedett legnagyobb homlokzatmagasság: 9m”</w:t>
      </w:r>
    </w:p>
    <w:p w:rsidR="002174DF" w:rsidRPr="00723D0E" w:rsidRDefault="002174DF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174DF" w:rsidRPr="00723D0E" w:rsidRDefault="002174DF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Pr="00723D0E">
        <w:rPr>
          <w:rFonts w:ascii="Times New Roman" w:hAnsi="Times New Roman" w:cs="Times New Roman"/>
          <w:sz w:val="24"/>
          <w:szCs w:val="24"/>
        </w:rPr>
        <w:t xml:space="preserve"> </w:t>
      </w:r>
      <w:r w:rsidRPr="00832570">
        <w:rPr>
          <w:rFonts w:ascii="Times New Roman" w:hAnsi="Times New Roman" w:cs="Times New Roman"/>
          <w:i/>
          <w:iCs/>
          <w:sz w:val="24"/>
          <w:szCs w:val="24"/>
        </w:rPr>
        <w:t>A HÉSZ az alábbi 11/B.§-</w:t>
      </w:r>
      <w:proofErr w:type="spellStart"/>
      <w:r w:rsidRPr="00832570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832570">
        <w:rPr>
          <w:rFonts w:ascii="Times New Roman" w:hAnsi="Times New Roman" w:cs="Times New Roman"/>
          <w:i/>
          <w:iCs/>
          <w:sz w:val="24"/>
          <w:szCs w:val="24"/>
        </w:rPr>
        <w:t xml:space="preserve"> egészül ki:</w:t>
      </w:r>
    </w:p>
    <w:p w:rsidR="002174DF" w:rsidRPr="00832570" w:rsidRDefault="002174DF" w:rsidP="0083257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570">
        <w:rPr>
          <w:rFonts w:ascii="Times New Roman" w:hAnsi="Times New Roman" w:cs="Times New Roman"/>
          <w:b/>
          <w:bCs/>
          <w:sz w:val="24"/>
          <w:szCs w:val="24"/>
        </w:rPr>
        <w:t>„11/B.§</w:t>
      </w:r>
    </w:p>
    <w:p w:rsidR="002174DF" w:rsidRPr="00832570" w:rsidRDefault="002174DF" w:rsidP="0083257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570">
        <w:rPr>
          <w:rFonts w:ascii="Times New Roman" w:hAnsi="Times New Roman" w:cs="Times New Roman"/>
          <w:b/>
          <w:bCs/>
          <w:sz w:val="24"/>
          <w:szCs w:val="24"/>
        </w:rPr>
        <w:t>Tájbailles</w:t>
      </w:r>
      <w:r w:rsidR="00E3069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32570">
        <w:rPr>
          <w:rFonts w:ascii="Times New Roman" w:hAnsi="Times New Roman" w:cs="Times New Roman"/>
          <w:b/>
          <w:bCs/>
          <w:sz w:val="24"/>
          <w:szCs w:val="24"/>
        </w:rPr>
        <w:t>tés</w:t>
      </w:r>
    </w:p>
    <w:p w:rsidR="002174DF" w:rsidRDefault="002174DF" w:rsidP="00723D0E">
      <w:pPr>
        <w:pStyle w:val="Listaszerbekezds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A tájba illesztést látványtervvel kell igazolni. A látványtervben meg kell jelennie a környező terepalakulatoknak. A látvány feltárulást a fő feltáró útvonalakról is igazoln8i kell. A kilátás és a rálátás szempontjait egyaránt vizsgázni kell. </w:t>
      </w:r>
    </w:p>
    <w:p w:rsidR="00832570" w:rsidRPr="00723D0E" w:rsidRDefault="00832570" w:rsidP="00832570">
      <w:pPr>
        <w:pStyle w:val="Listaszerbekezds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174DF" w:rsidRPr="00723D0E" w:rsidRDefault="002174DF" w:rsidP="00723D0E">
      <w:pPr>
        <w:pStyle w:val="Listaszerbekezds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Egyéb tájvédelmi előírások:</w:t>
      </w:r>
    </w:p>
    <w:p w:rsidR="002174DF" w:rsidRDefault="002174DF" w:rsidP="00723D0E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Anyaghasználat, színezés: fényében csillogó anyagok, felületek használata nem engedhető meg.</w:t>
      </w:r>
    </w:p>
    <w:p w:rsidR="00832570" w:rsidRPr="00723D0E" w:rsidRDefault="00832570" w:rsidP="00832570">
      <w:pPr>
        <w:pStyle w:val="Listaszerbekezds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74DF" w:rsidRPr="00723D0E" w:rsidRDefault="002174DF" w:rsidP="00723D0E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A felszínformákat, terepfelszínt az ingatlan építése és használata során lehetőség szerint egyaránt meg kell őrizni.</w:t>
      </w:r>
    </w:p>
    <w:p w:rsidR="002174DF" w:rsidRDefault="002174DF" w:rsidP="00723D0E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Tájképvédelmi okokból az építési telken történő terepalakítás 10% alatti tereplejtésnél legfeljebb 1,0 </w:t>
      </w:r>
      <w:r w:rsidR="00832570" w:rsidRPr="00723D0E">
        <w:rPr>
          <w:rFonts w:ascii="Times New Roman" w:hAnsi="Times New Roman" w:cs="Times New Roman"/>
          <w:sz w:val="24"/>
          <w:szCs w:val="24"/>
        </w:rPr>
        <w:t>m,</w:t>
      </w:r>
      <w:r w:rsidRPr="00723D0E">
        <w:rPr>
          <w:rFonts w:ascii="Times New Roman" w:hAnsi="Times New Roman" w:cs="Times New Roman"/>
          <w:sz w:val="24"/>
          <w:szCs w:val="24"/>
        </w:rPr>
        <w:t xml:space="preserve"> 10-20 % közötti tereplejtésnél legfeljebb 1,5 m 20%-ot meghaladó tereplejtésnél 2,0 m lehet az eredeti terepszinttől mérten. A kialakításra került részűk 6/4-nél meredek</w:t>
      </w:r>
      <w:r w:rsidR="00723D0E" w:rsidRPr="00723D0E">
        <w:rPr>
          <w:rFonts w:ascii="Times New Roman" w:hAnsi="Times New Roman" w:cs="Times New Roman"/>
          <w:sz w:val="24"/>
          <w:szCs w:val="24"/>
        </w:rPr>
        <w:t>ebbek nem lehetnek.</w:t>
      </w:r>
    </w:p>
    <w:p w:rsidR="00832570" w:rsidRPr="00723D0E" w:rsidRDefault="00832570" w:rsidP="00832570">
      <w:pPr>
        <w:pStyle w:val="Listaszerbekezds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3D0E" w:rsidRPr="00723D0E" w:rsidRDefault="00723D0E" w:rsidP="00723D0E">
      <w:pPr>
        <w:pStyle w:val="Listaszerbekezds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832570" w:rsidRPr="00723D0E">
        <w:rPr>
          <w:rFonts w:ascii="Times New Roman" w:hAnsi="Times New Roman" w:cs="Times New Roman"/>
          <w:sz w:val="24"/>
          <w:szCs w:val="24"/>
        </w:rPr>
        <w:t>épületek,</w:t>
      </w:r>
      <w:r w:rsidRPr="00723D0E">
        <w:rPr>
          <w:rFonts w:ascii="Times New Roman" w:hAnsi="Times New Roman" w:cs="Times New Roman"/>
          <w:sz w:val="24"/>
          <w:szCs w:val="24"/>
        </w:rPr>
        <w:t xml:space="preserve"> építmények környezetének rendezése során ápolni kell a gyepes felületeket, ahol fásítani kell, az kizárólag tájban illő nem </w:t>
      </w:r>
      <w:proofErr w:type="spellStart"/>
      <w:r w:rsidRPr="00723D0E">
        <w:rPr>
          <w:rFonts w:ascii="Times New Roman" w:hAnsi="Times New Roman" w:cs="Times New Roman"/>
          <w:sz w:val="24"/>
          <w:szCs w:val="24"/>
        </w:rPr>
        <w:t>invázív</w:t>
      </w:r>
      <w:proofErr w:type="spellEnd"/>
      <w:r w:rsidRPr="00723D0E">
        <w:rPr>
          <w:rFonts w:ascii="Times New Roman" w:hAnsi="Times New Roman" w:cs="Times New Roman"/>
          <w:sz w:val="24"/>
          <w:szCs w:val="24"/>
        </w:rPr>
        <w:t xml:space="preserve"> őshonos növényekkel történhet. Az őshonos növények alkalmazásának legyen prioritása</w:t>
      </w:r>
      <w:proofErr w:type="gramStart"/>
      <w:r w:rsidRPr="00723D0E">
        <w:rPr>
          <w:rFonts w:ascii="Times New Roman" w:hAnsi="Times New Roman" w:cs="Times New Roman"/>
          <w:sz w:val="24"/>
          <w:szCs w:val="24"/>
        </w:rPr>
        <w:t>.”+</w:t>
      </w:r>
      <w:proofErr w:type="gramEnd"/>
    </w:p>
    <w:p w:rsidR="00723D0E" w:rsidRPr="00723D0E" w:rsidRDefault="00723D0E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23D0E" w:rsidRPr="00723D0E" w:rsidRDefault="00723D0E" w:rsidP="00723D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2570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Pr="00723D0E">
        <w:rPr>
          <w:rFonts w:ascii="Times New Roman" w:hAnsi="Times New Roman" w:cs="Times New Roman"/>
          <w:i/>
          <w:iCs/>
          <w:sz w:val="24"/>
          <w:szCs w:val="24"/>
        </w:rPr>
        <w:t xml:space="preserve"> A HÉSZ az alábbi 11/C. §-</w:t>
      </w:r>
      <w:proofErr w:type="spellStart"/>
      <w:r w:rsidRPr="00723D0E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723D0E">
        <w:rPr>
          <w:rFonts w:ascii="Times New Roman" w:hAnsi="Times New Roman" w:cs="Times New Roman"/>
          <w:i/>
          <w:iCs/>
          <w:sz w:val="24"/>
          <w:szCs w:val="24"/>
        </w:rPr>
        <w:t xml:space="preserve"> egészül ki: </w:t>
      </w:r>
    </w:p>
    <w:p w:rsidR="00723D0E" w:rsidRPr="00723D0E" w:rsidRDefault="00723D0E" w:rsidP="00832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„11/C.§</w:t>
      </w: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A környezeti elemek és a víz védelme és minőségének megóvása érdekében, a településrendezéssel érintett területen, csak olyan építmények, illetve azokhoz létesítmények, tevékenységek megvalósulása, üzemeltetése engedélyezhető, amelyek ellenőrzött körülmények közötti működtetése hosszútávon sem veszélyeztetheti a talaj, illetve a felszíni és a felszín alatti vizek jó állapotának, továbbá az általános normatív emberi elvárások és a vonatkozó hatályos jogszabályokban megfogalmazott környezeti célkitűzések teljesülését.”</w:t>
      </w: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  <w:r w:rsidRPr="00832570">
        <w:rPr>
          <w:rFonts w:ascii="Times New Roman" w:hAnsi="Times New Roman" w:cs="Times New Roman"/>
          <w:b/>
          <w:bCs/>
          <w:sz w:val="24"/>
          <w:szCs w:val="24"/>
        </w:rPr>
        <w:t>5.§</w:t>
      </w:r>
      <w:r w:rsidRPr="00723D0E">
        <w:rPr>
          <w:rFonts w:ascii="Times New Roman" w:hAnsi="Times New Roman" w:cs="Times New Roman"/>
          <w:sz w:val="24"/>
          <w:szCs w:val="24"/>
        </w:rPr>
        <w:t xml:space="preserve"> (1) Ez a rendelet 2015. április 16-án lép hatályba.</w:t>
      </w: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(2) E rendelet hatályba lépésével egyidejűleg a HÉSZ mellékletét képező szabályozási tervlapoknak a jelen módosításokkal érintett részei helyén, a jelen rendelet 1. mellékletét képező Z jelű tervlapokat kell alkalmazni.</w:t>
      </w: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(3) A rendelet elfogadását követően az egységes szerkezetbe foglalásról gondoskodni kell.</w:t>
      </w: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Legyesbénye, 2015. március 25.</w:t>
      </w:r>
    </w:p>
    <w:p w:rsidR="00723D0E" w:rsidRPr="00723D0E" w:rsidRDefault="00723D0E" w:rsidP="00723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D0E" w:rsidRPr="00723D0E" w:rsidRDefault="00723D0E" w:rsidP="0072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D0E">
        <w:rPr>
          <w:rFonts w:ascii="Times New Roman" w:hAnsi="Times New Roman" w:cs="Times New Roman"/>
          <w:sz w:val="24"/>
          <w:szCs w:val="24"/>
        </w:rPr>
        <w:t>Hlivják</w:t>
      </w:r>
      <w:proofErr w:type="spellEnd"/>
      <w:r w:rsidRPr="00723D0E">
        <w:rPr>
          <w:rFonts w:ascii="Times New Roman" w:hAnsi="Times New Roman" w:cs="Times New Roman"/>
          <w:sz w:val="24"/>
          <w:szCs w:val="24"/>
        </w:rPr>
        <w:t xml:space="preserve"> László</w:t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  <w:t>Bodnár Jánosné</w:t>
      </w:r>
    </w:p>
    <w:p w:rsidR="00723D0E" w:rsidRPr="00723D0E" w:rsidRDefault="00723D0E" w:rsidP="00723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</w:r>
      <w:r w:rsidRPr="00723D0E">
        <w:rPr>
          <w:rFonts w:ascii="Times New Roman" w:hAnsi="Times New Roman" w:cs="Times New Roman"/>
          <w:sz w:val="24"/>
          <w:szCs w:val="24"/>
        </w:rPr>
        <w:tab/>
        <w:t xml:space="preserve">                  jegyző</w:t>
      </w:r>
    </w:p>
    <w:p w:rsidR="00723D0E" w:rsidRPr="00723D0E" w:rsidRDefault="00723D0E" w:rsidP="00723D0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723D0E" w:rsidRPr="0072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633"/>
    <w:multiLevelType w:val="hybridMultilevel"/>
    <w:tmpl w:val="293C6530"/>
    <w:lvl w:ilvl="0" w:tplc="BD7A6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0A5"/>
    <w:multiLevelType w:val="hybridMultilevel"/>
    <w:tmpl w:val="781C3A4C"/>
    <w:lvl w:ilvl="0" w:tplc="30BAD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A1DB1"/>
    <w:multiLevelType w:val="hybridMultilevel"/>
    <w:tmpl w:val="72A0E75A"/>
    <w:lvl w:ilvl="0" w:tplc="8024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21768"/>
    <w:multiLevelType w:val="hybridMultilevel"/>
    <w:tmpl w:val="41EA1F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9A"/>
    <w:rsid w:val="00137211"/>
    <w:rsid w:val="002174DF"/>
    <w:rsid w:val="00723D0E"/>
    <w:rsid w:val="007B0923"/>
    <w:rsid w:val="00832570"/>
    <w:rsid w:val="00E30690"/>
    <w:rsid w:val="00E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CF8B-59BE-40D1-87FC-A2508ADB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923"/>
    <w:pPr>
      <w:ind w:left="720"/>
      <w:contextualSpacing/>
    </w:pPr>
  </w:style>
  <w:style w:type="table" w:styleId="Rcsostblzat">
    <w:name w:val="Table Grid"/>
    <w:basedOn w:val="Normltblzat"/>
    <w:uiPriority w:val="39"/>
    <w:rsid w:val="007B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Bekecs_007</dc:creator>
  <cp:keywords/>
  <dc:description/>
  <cp:lastModifiedBy>Bekecs_005</cp:lastModifiedBy>
  <cp:revision>3</cp:revision>
  <dcterms:created xsi:type="dcterms:W3CDTF">2022-01-19T12:40:00Z</dcterms:created>
  <dcterms:modified xsi:type="dcterms:W3CDTF">2022-01-20T06:36:00Z</dcterms:modified>
</cp:coreProperties>
</file>